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17" w:rsidRDefault="00FE0A17" w:rsidP="00FE0A17">
      <w:pPr>
        <w:pStyle w:val="Nagwek"/>
        <w:spacing w:line="240" w:lineRule="auto"/>
        <w:jc w:val="right"/>
        <w:rPr>
          <w:i/>
          <w:sz w:val="22"/>
          <w:szCs w:val="22"/>
        </w:rPr>
      </w:pPr>
      <w:r w:rsidRPr="006104FD">
        <w:rPr>
          <w:i/>
          <w:sz w:val="22"/>
          <w:szCs w:val="22"/>
        </w:rPr>
        <w:t>Załącznik nr</w:t>
      </w:r>
      <w:r>
        <w:rPr>
          <w:i/>
          <w:sz w:val="22"/>
          <w:szCs w:val="22"/>
        </w:rPr>
        <w:t xml:space="preserve"> </w:t>
      </w:r>
      <w:r w:rsidR="00B45BEA">
        <w:rPr>
          <w:i/>
          <w:sz w:val="22"/>
          <w:szCs w:val="22"/>
        </w:rPr>
        <w:t>8</w:t>
      </w:r>
      <w:r w:rsidRPr="006104FD">
        <w:rPr>
          <w:i/>
          <w:sz w:val="22"/>
          <w:szCs w:val="22"/>
        </w:rPr>
        <w:t xml:space="preserve"> do SWZ</w:t>
      </w:r>
    </w:p>
    <w:p w:rsidR="00BD3DE9" w:rsidRDefault="00FE0A17" w:rsidP="00FE0A17">
      <w:pPr>
        <w:spacing w:line="240" w:lineRule="auto"/>
        <w:ind w:left="284" w:hanging="261"/>
        <w:jc w:val="right"/>
        <w:rPr>
          <w:b/>
        </w:rPr>
      </w:pPr>
      <w:r>
        <w:rPr>
          <w:i/>
          <w:sz w:val="22"/>
          <w:szCs w:val="22"/>
        </w:rPr>
        <w:t>KRRII.271.1.</w:t>
      </w:r>
      <w:r w:rsidR="009E2313">
        <w:rPr>
          <w:i/>
          <w:sz w:val="22"/>
          <w:szCs w:val="22"/>
        </w:rPr>
        <w:t>1</w:t>
      </w:r>
      <w:r w:rsidR="00977ACA">
        <w:rPr>
          <w:i/>
          <w:sz w:val="22"/>
          <w:szCs w:val="22"/>
        </w:rPr>
        <w:t>8</w:t>
      </w:r>
      <w:r w:rsidR="009E2313">
        <w:rPr>
          <w:i/>
          <w:sz w:val="22"/>
          <w:szCs w:val="22"/>
        </w:rPr>
        <w:t>.</w:t>
      </w:r>
      <w:r>
        <w:rPr>
          <w:i/>
          <w:sz w:val="22"/>
          <w:szCs w:val="22"/>
        </w:rPr>
        <w:t>2021</w:t>
      </w:r>
    </w:p>
    <w:p w:rsidR="00FE0A17" w:rsidRDefault="00FE0A17"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2021</w:t>
      </w:r>
    </w:p>
    <w:p w:rsidR="00FB7E30" w:rsidRDefault="00FB7E30" w:rsidP="00DE2E60">
      <w:pPr>
        <w:spacing w:line="240" w:lineRule="auto"/>
        <w:ind w:left="0" w:firstLine="4"/>
        <w:jc w:val="both"/>
      </w:pP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2021</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6C4233" w:rsidRPr="00DE2E60" w:rsidRDefault="006C4233" w:rsidP="00DE2E60">
      <w:pPr>
        <w:spacing w:line="240" w:lineRule="auto"/>
        <w:ind w:left="0" w:firstLine="4"/>
        <w:jc w:val="both"/>
      </w:pPr>
      <w:r w:rsidRPr="00DE2E60">
        <w:t xml:space="preserve">zwaną w dalszej treści umowy „Zamawiającym” a </w:t>
      </w:r>
    </w:p>
    <w:p w:rsidR="006C4233" w:rsidRPr="00DE2E60" w:rsidRDefault="000E0662" w:rsidP="00DE2E60">
      <w:pPr>
        <w:spacing w:line="240" w:lineRule="auto"/>
        <w:ind w:left="23" w:firstLine="0"/>
        <w:jc w:val="both"/>
        <w:rPr>
          <w:b/>
        </w:rPr>
      </w:pPr>
      <w:r w:rsidRPr="00DE2E60">
        <w:rPr>
          <w:b/>
        </w:rPr>
        <w:t>…………………………………………….</w:t>
      </w:r>
      <w:r w:rsidR="008136CD" w:rsidRPr="00DE2E60">
        <w:rPr>
          <w:b/>
        </w:rPr>
        <w:t xml:space="preserve">, </w:t>
      </w:r>
      <w:r w:rsidR="008136CD" w:rsidRPr="00DE2E60">
        <w:t>reprezentowanym przez</w:t>
      </w:r>
      <w:r w:rsidRPr="00DE2E60">
        <w:rPr>
          <w:b/>
        </w:rPr>
        <w:t>………………………</w:t>
      </w:r>
      <w:r w:rsidR="008136CD" w:rsidRPr="00DE2E60">
        <w:t>,</w:t>
      </w:r>
      <w:r w:rsidR="008136CD" w:rsidRPr="00DE2E60">
        <w:rPr>
          <w:b/>
        </w:rPr>
        <w:t xml:space="preserve"> </w:t>
      </w:r>
      <w:r w:rsidR="006C4233"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 xml:space="preserve">W wyniku postępowania o udzielenie zamówienia publicznego przeprowadzonego w trybie podstawowym zgodnie z art. 275 ustawy z dnia 11 września 2019 r. Prawo zamówień publicznych (Dz. U. z </w:t>
      </w:r>
      <w:r w:rsidR="00DB17F2">
        <w:t>2021</w:t>
      </w:r>
      <w:r w:rsidRPr="00DE2E60">
        <w:t xml:space="preserve"> r., poz. </w:t>
      </w:r>
      <w:r w:rsidR="00DB17F2">
        <w:t>1129</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977ACA" w:rsidRPr="00CA70AA">
        <w:rPr>
          <w:rFonts w:ascii="Times New Roman" w:hAnsi="Times New Roman" w:cs="Times New Roman"/>
          <w:b/>
          <w:sz w:val="24"/>
          <w:szCs w:val="24"/>
          <w:lang w:eastAsia="pl-PL"/>
        </w:rPr>
        <w:t>Budowa sieci kanalizacji sanitarnej w Piotrowicach</w:t>
      </w:r>
      <w:r w:rsidR="00BD3DE9" w:rsidRPr="00C83532">
        <w:rPr>
          <w:rFonts w:ascii="Times New Roman" w:hAnsi="Times New Roman" w:cs="Times New Roman"/>
          <w:b/>
          <w:sz w:val="28"/>
          <w:szCs w:val="24"/>
        </w:rPr>
        <w:t xml:space="preserve"> </w:t>
      </w:r>
    </w:p>
    <w:p w:rsidR="004B3AC2" w:rsidRPr="00AB4612" w:rsidRDefault="006C4233" w:rsidP="00127EFC">
      <w:pPr>
        <w:pStyle w:val="Bezodstpw"/>
        <w:numPr>
          <w:ilvl w:val="0"/>
          <w:numId w:val="1"/>
        </w:numPr>
        <w:ind w:left="426"/>
        <w:jc w:val="both"/>
        <w:rPr>
          <w:rFonts w:ascii="Times New Roman" w:hAnsi="Times New Roman" w:cs="Times New Roman"/>
          <w:color w:val="FF0000"/>
          <w:sz w:val="24"/>
          <w:szCs w:val="24"/>
          <w:shd w:val="clear" w:color="auto" w:fill="FFFFFF"/>
        </w:rPr>
      </w:pPr>
      <w:r w:rsidRPr="00127EFC">
        <w:rPr>
          <w:rFonts w:ascii="Times New Roman" w:hAnsi="Times New Roman" w:cs="Times New Roman"/>
          <w:sz w:val="24"/>
          <w:szCs w:val="24"/>
        </w:rPr>
        <w:t>Wykonawca zobowiązuje się do wykonania na rzecz Zamawiającego robót budowlanych obejmujących realiz</w:t>
      </w:r>
      <w:r w:rsidR="00BD3DE9">
        <w:rPr>
          <w:rFonts w:ascii="Times New Roman" w:hAnsi="Times New Roman" w:cs="Times New Roman"/>
          <w:sz w:val="24"/>
          <w:szCs w:val="24"/>
        </w:rPr>
        <w:t xml:space="preserve">ację zadania opisanego w ust. 1, </w:t>
      </w:r>
      <w:r w:rsidR="00BD3DE9" w:rsidRPr="00BD3DE9">
        <w:rPr>
          <w:rFonts w:ascii="Times New Roman" w:hAnsi="Times New Roman" w:cs="Times New Roman"/>
          <w:sz w:val="24"/>
        </w:rPr>
        <w:t xml:space="preserve">na które składa się wykonanie </w:t>
      </w:r>
      <w:r w:rsidR="00BD3DE9" w:rsidRPr="002B2967">
        <w:rPr>
          <w:rFonts w:ascii="Times New Roman" w:hAnsi="Times New Roman" w:cs="Times New Roman"/>
          <w:sz w:val="24"/>
        </w:rPr>
        <w:t>następujących robót:</w:t>
      </w:r>
      <w:r w:rsidRPr="00AB4612">
        <w:rPr>
          <w:rFonts w:ascii="Times New Roman" w:hAnsi="Times New Roman" w:cs="Times New Roman"/>
          <w:color w:val="FF0000"/>
          <w:sz w:val="28"/>
          <w:szCs w:val="24"/>
        </w:rPr>
        <w:t xml:space="preserve"> </w:t>
      </w:r>
    </w:p>
    <w:p w:rsidR="00977ACA" w:rsidRPr="0056175A" w:rsidRDefault="00977ACA" w:rsidP="00977ACA">
      <w:pPr>
        <w:pStyle w:val="NormalnyWeb"/>
        <w:numPr>
          <w:ilvl w:val="0"/>
          <w:numId w:val="47"/>
        </w:numPr>
        <w:suppressAutoHyphens w:val="0"/>
        <w:jc w:val="both"/>
      </w:pPr>
      <w:r w:rsidRPr="0056175A">
        <w:t>roboty przygotowawcze i rozbiórkowe,</w:t>
      </w:r>
    </w:p>
    <w:p w:rsidR="00977ACA" w:rsidRPr="0056175A" w:rsidRDefault="00977ACA" w:rsidP="00977ACA">
      <w:pPr>
        <w:pStyle w:val="NormalnyWeb"/>
        <w:numPr>
          <w:ilvl w:val="0"/>
          <w:numId w:val="47"/>
        </w:numPr>
        <w:suppressAutoHyphens w:val="0"/>
        <w:jc w:val="both"/>
      </w:pPr>
      <w:r w:rsidRPr="0056175A">
        <w:t xml:space="preserve">roboty ziemne, </w:t>
      </w:r>
    </w:p>
    <w:p w:rsidR="00977ACA" w:rsidRPr="0056175A" w:rsidRDefault="00977ACA" w:rsidP="00977ACA">
      <w:pPr>
        <w:pStyle w:val="NormalnyWeb"/>
        <w:numPr>
          <w:ilvl w:val="0"/>
          <w:numId w:val="47"/>
        </w:numPr>
        <w:suppressAutoHyphens w:val="0"/>
        <w:jc w:val="both"/>
      </w:pPr>
      <w:r w:rsidRPr="0056175A">
        <w:t xml:space="preserve">roboty instalacyjne - sieć </w:t>
      </w:r>
      <w:r>
        <w:t xml:space="preserve">kanalizacji sanitarnej grawitacyjnej </w:t>
      </w:r>
      <w:r w:rsidRPr="0056175A">
        <w:t xml:space="preserve">z rur </w:t>
      </w:r>
      <w:r>
        <w:t>PVC</w:t>
      </w:r>
      <w:r w:rsidRPr="0056175A">
        <w:t xml:space="preserve"> </w:t>
      </w:r>
      <w:proofErr w:type="spellStart"/>
      <w:r w:rsidRPr="0056175A">
        <w:t>śr</w:t>
      </w:r>
      <w:proofErr w:type="spellEnd"/>
      <w:r w:rsidRPr="0056175A">
        <w:t xml:space="preserve">. </w:t>
      </w:r>
      <w:r>
        <w:t>20</w:t>
      </w:r>
      <w:r w:rsidRPr="0056175A">
        <w:t xml:space="preserve">0 mm o długości </w:t>
      </w:r>
      <w:r>
        <w:t>252,60</w:t>
      </w:r>
      <w:r w:rsidRPr="0056175A">
        <w:t xml:space="preserve"> m, montaż </w:t>
      </w:r>
      <w:r>
        <w:t xml:space="preserve">studni rewizyjnych </w:t>
      </w:r>
      <w:proofErr w:type="spellStart"/>
      <w:r>
        <w:t>śr</w:t>
      </w:r>
      <w:proofErr w:type="spellEnd"/>
      <w:r>
        <w:t>. 400 mm – 4</w:t>
      </w:r>
      <w:r w:rsidRPr="0056175A">
        <w:t>kpl.,</w:t>
      </w:r>
      <w:r>
        <w:t xml:space="preserve"> montaż studzienek połączeniowych żelbetowych </w:t>
      </w:r>
      <w:proofErr w:type="spellStart"/>
      <w:r>
        <w:t>śr</w:t>
      </w:r>
      <w:proofErr w:type="spellEnd"/>
      <w:r>
        <w:t xml:space="preserve">. 1200 mm – 5 </w:t>
      </w:r>
      <w:proofErr w:type="spellStart"/>
      <w:r>
        <w:t>kpl</w:t>
      </w:r>
      <w:proofErr w:type="spellEnd"/>
      <w:r>
        <w:t>.,</w:t>
      </w:r>
      <w:r w:rsidRPr="0056175A">
        <w:t xml:space="preserve"> </w:t>
      </w:r>
    </w:p>
    <w:p w:rsidR="00977ACA" w:rsidRDefault="00977ACA" w:rsidP="00977ACA">
      <w:pPr>
        <w:pStyle w:val="NormalnyWeb"/>
        <w:numPr>
          <w:ilvl w:val="0"/>
          <w:numId w:val="47"/>
        </w:numPr>
        <w:suppressAutoHyphens w:val="0"/>
        <w:jc w:val="both"/>
      </w:pPr>
      <w:r w:rsidRPr="0056175A">
        <w:t>odtworzenie nawierzchni drogowych,</w:t>
      </w:r>
    </w:p>
    <w:p w:rsidR="00977ACA" w:rsidRDefault="00977ACA" w:rsidP="00977ACA">
      <w:pPr>
        <w:pStyle w:val="Bezodstpw"/>
        <w:numPr>
          <w:ilvl w:val="0"/>
          <w:numId w:val="47"/>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wykonanie płukania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977ACA" w:rsidRDefault="00977ACA" w:rsidP="00977ACA">
      <w:pPr>
        <w:pStyle w:val="Bezodstpw"/>
        <w:numPr>
          <w:ilvl w:val="0"/>
          <w:numId w:val="47"/>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próba szczelności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977ACA" w:rsidRPr="0056175A" w:rsidRDefault="00977ACA" w:rsidP="00977ACA">
      <w:pPr>
        <w:pStyle w:val="NormalnyWeb"/>
        <w:numPr>
          <w:ilvl w:val="0"/>
          <w:numId w:val="47"/>
        </w:numPr>
        <w:suppressAutoHyphens w:val="0"/>
        <w:jc w:val="both"/>
      </w:pPr>
      <w:r w:rsidRPr="0056175A">
        <w:t xml:space="preserve">wytyczenie geodezyjne oraz wykonanie inwentaryzacji powykonawczej. </w:t>
      </w:r>
    </w:p>
    <w:p w:rsidR="009E2313" w:rsidRPr="0056175A" w:rsidRDefault="009E2313" w:rsidP="00977ACA">
      <w:pPr>
        <w:pStyle w:val="NormalnyWeb"/>
        <w:suppressAutoHyphens w:val="0"/>
        <w:ind w:left="1080"/>
        <w:jc w:val="both"/>
      </w:pPr>
    </w:p>
    <w:p w:rsidR="000E0662" w:rsidRPr="00DE2E60" w:rsidRDefault="000E0662" w:rsidP="00977ACA">
      <w:pPr>
        <w:pStyle w:val="Bezodstpw"/>
        <w:numPr>
          <w:ilvl w:val="0"/>
          <w:numId w:val="1"/>
        </w:numPr>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B436B0">
      <w:pPr>
        <w:widowControl/>
        <w:numPr>
          <w:ilvl w:val="1"/>
          <w:numId w:val="6"/>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0E0662"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dokumentacja projektowa,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Pr="00127EFC">
        <w:t>STWIORB</w:t>
      </w:r>
      <w:r w:rsidR="00127EFC" w:rsidRPr="00127EFC">
        <w:t xml:space="preserve"> )</w:t>
      </w:r>
      <w:r w:rsidRPr="00127EFC">
        <w:t>,</w:t>
      </w:r>
      <w:r w:rsidRPr="00DE2E60">
        <w:t xml:space="preserve"> przedmiary rob</w:t>
      </w:r>
      <w:r w:rsidR="002147CF">
        <w:t>ó</w:t>
      </w:r>
      <w:r w:rsidRPr="00DE2E60">
        <w:t>t</w:t>
      </w:r>
      <w:r w:rsidR="006C4233" w:rsidRPr="00DE2E60">
        <w:t>,</w:t>
      </w:r>
    </w:p>
    <w:p w:rsidR="004B3AC2" w:rsidRPr="00DE2E60" w:rsidRDefault="006C4233"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977ACA">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t xml:space="preserve">W przypadku rozbieżności dokumentacji projektowej </w:t>
      </w:r>
      <w:r w:rsidRPr="00DE2E60">
        <w:rPr>
          <w:rFonts w:cs="Times New Roman"/>
        </w:rPr>
        <w:t>wiążące są zapisy wg następującej hierarchii dokumentów:</w:t>
      </w:r>
    </w:p>
    <w:p w:rsidR="000E0662" w:rsidRPr="00DE2E60" w:rsidRDefault="007530C1" w:rsidP="00B436B0">
      <w:pPr>
        <w:numPr>
          <w:ilvl w:val="2"/>
          <w:numId w:val="7"/>
        </w:numPr>
        <w:tabs>
          <w:tab w:val="left" w:pos="851"/>
          <w:tab w:val="left" w:pos="993"/>
        </w:tabs>
        <w:suppressAutoHyphens/>
        <w:autoSpaceDN/>
        <w:adjustRightInd/>
        <w:spacing w:line="240" w:lineRule="auto"/>
        <w:ind w:left="851" w:hanging="425"/>
        <w:jc w:val="both"/>
      </w:pPr>
      <w:r>
        <w:rPr>
          <w:bCs/>
          <w:color w:val="000000"/>
        </w:rPr>
        <w:t>Projekt budowlany,</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6C4233" w:rsidRPr="00DE2E60" w:rsidRDefault="006C4233" w:rsidP="00977ACA">
      <w:pPr>
        <w:pStyle w:val="Bezodstpw"/>
        <w:numPr>
          <w:ilvl w:val="0"/>
          <w:numId w:val="1"/>
        </w:numPr>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977ACA">
      <w:pPr>
        <w:numPr>
          <w:ilvl w:val="0"/>
          <w:numId w:val="1"/>
        </w:numPr>
        <w:suppressAutoHyphens/>
        <w:autoSpaceDN/>
        <w:spacing w:line="240" w:lineRule="auto"/>
        <w:ind w:left="426"/>
        <w:jc w:val="both"/>
        <w:textAlignment w:val="baseline"/>
        <w:rPr>
          <w:iCs/>
        </w:rPr>
      </w:pPr>
      <w:r w:rsidRPr="00DE2E60">
        <w:rPr>
          <w:iCs/>
          <w:color w:val="000000"/>
        </w:rPr>
        <w:t xml:space="preserve">Przedmiary robót mają charakter pomocniczy. Wykonawca zobowiązany jest do </w:t>
      </w:r>
      <w:r w:rsidRPr="00DE2E60">
        <w:rPr>
          <w:iCs/>
          <w:color w:val="000000"/>
        </w:rPr>
        <w:lastRenderedPageBreak/>
        <w:t>dokładnego sprawdzenia ilości robót z dokumentacją projektową wskazaną w ust. 3</w:t>
      </w:r>
      <w:r w:rsidR="00DD2A2C" w:rsidRPr="00DE2E60">
        <w:rPr>
          <w:iCs/>
          <w:color w:val="000000"/>
        </w:rPr>
        <w:t xml:space="preserve"> pkt. 2</w:t>
      </w:r>
      <w:r w:rsidR="004B3AC2" w:rsidRPr="00DE2E60">
        <w:rPr>
          <w:iCs/>
          <w:color w:val="000000"/>
        </w:rPr>
        <w:t xml:space="preserve">. </w:t>
      </w:r>
      <w:r w:rsidRPr="00DE2E60">
        <w:rPr>
          <w:iCs/>
          <w:color w:val="000000"/>
        </w:rPr>
        <w:t>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w:t>
      </w:r>
      <w:r w:rsidR="00DD2A2C" w:rsidRPr="00DE2E60">
        <w:rPr>
          <w:iCs/>
          <w:color w:val="000000"/>
        </w:rPr>
        <w:t xml:space="preserve"> pkt. 2</w:t>
      </w:r>
      <w:r w:rsidRPr="00DE2E60">
        <w:rPr>
          <w:iCs/>
          <w:color w:val="000000"/>
        </w:rPr>
        <w:t xml:space="preserve"> nie zwalnia Wykonawcy od obowiązku ich wykonania w cenie umownej. </w:t>
      </w:r>
    </w:p>
    <w:p w:rsidR="000E0662" w:rsidRPr="00DE2E60" w:rsidRDefault="000E0662" w:rsidP="00977ACA">
      <w:pPr>
        <w:widowControl/>
        <w:numPr>
          <w:ilvl w:val="0"/>
          <w:numId w:val="1"/>
        </w:numPr>
        <w:suppressAutoHyphens/>
        <w:autoSpaceDE/>
        <w:autoSpaceDN/>
        <w:adjustRightInd/>
        <w:spacing w:line="240" w:lineRule="auto"/>
        <w:ind w:left="425" w:hanging="357"/>
        <w:contextualSpacing/>
        <w:jc w:val="both"/>
      </w:pPr>
      <w:r w:rsidRPr="00DE2E60">
        <w:t xml:space="preserve">Wszystkie wykonane roboty i dostarczone materiały będą zgodne </w:t>
      </w:r>
      <w:r w:rsidRPr="00DE2E60">
        <w:br/>
        <w:t>z dokumentacją projektową i szczegółowymi specyfikacjami technicznymi wykonania i odbioru robót (</w:t>
      </w:r>
      <w:proofErr w:type="spellStart"/>
      <w:r w:rsidRPr="00DE2E60">
        <w:t>STWiORB</w:t>
      </w:r>
      <w:proofErr w:type="spellEnd"/>
      <w:r w:rsidRPr="00DE2E60">
        <w:t xml:space="preserve">). W przypadku, gdy materiały lub roboty nie będą w pełni zgodne z dokumentacją projektową lub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977ACA">
      <w:pPr>
        <w:widowControl/>
        <w:numPr>
          <w:ilvl w:val="0"/>
          <w:numId w:val="1"/>
        </w:numPr>
        <w:suppressAutoHyphens/>
        <w:autoSpaceDE/>
        <w:autoSpaceDN/>
        <w:adjustRightInd/>
        <w:spacing w:line="240" w:lineRule="auto"/>
        <w:ind w:left="425" w:hanging="357"/>
        <w:contextualSpacing/>
        <w:jc w:val="both"/>
      </w:pPr>
      <w:r w:rsidRPr="00DE2E60">
        <w:t xml:space="preserve">Przedmiot umowy należy wykonać zgodnie z dokumentacją projektową,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977ACA">
      <w:pPr>
        <w:widowControl/>
        <w:numPr>
          <w:ilvl w:val="0"/>
          <w:numId w:val="1"/>
        </w:numPr>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wy w oparciu o SWZ, dokumentację</w:t>
      </w:r>
      <w:r w:rsidRPr="00DE2E60">
        <w:t xml:space="preserve"> projektową,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4B3AC2" w:rsidRPr="00DE2E60" w:rsidRDefault="00D804AE" w:rsidP="00977ACA">
      <w:pPr>
        <w:widowControl/>
        <w:numPr>
          <w:ilvl w:val="0"/>
          <w:numId w:val="1"/>
        </w:numPr>
        <w:suppressAutoHyphens/>
        <w:autoSpaceDE/>
        <w:autoSpaceDN/>
        <w:adjustRightInd/>
        <w:spacing w:line="240" w:lineRule="auto"/>
        <w:ind w:left="425" w:hanging="357"/>
        <w:contextualSpacing/>
        <w:jc w:val="both"/>
      </w:pPr>
      <w:r w:rsidRPr="00DE2E60">
        <w:t>Wykonawca oświadcza, iż zapoznał się z dokumentacją projektową oraz, że jest ona pod względem treści i zakresu kompletna i wystarczająca do zrealizowania przedmiotu umowy oraz nie zawiera błędów i wad dających się wykryć przy zachowaniu należytej staranności przy jej sprawdzeniu.</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DE2E60">
      <w:pPr>
        <w:spacing w:line="240" w:lineRule="auto"/>
        <w:jc w:val="center"/>
      </w:pPr>
    </w:p>
    <w:p w:rsidR="00DB653C" w:rsidRPr="00DE2E60" w:rsidRDefault="00DB653C" w:rsidP="00B436B0">
      <w:pPr>
        <w:widowControl/>
        <w:numPr>
          <w:ilvl w:val="0"/>
          <w:numId w:val="8"/>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9E2313">
        <w:rPr>
          <w:rFonts w:eastAsia="Cambria"/>
          <w:b/>
        </w:rPr>
        <w:t>3</w:t>
      </w:r>
      <w:r w:rsidR="002147CF" w:rsidRPr="009F513F">
        <w:rPr>
          <w:rFonts w:eastAsia="Cambria"/>
          <w:b/>
        </w:rPr>
        <w:t>0</w:t>
      </w:r>
      <w:r w:rsidR="004F7FB2" w:rsidRPr="009F513F">
        <w:rPr>
          <w:rFonts w:eastAsia="Cambria"/>
          <w:b/>
        </w:rPr>
        <w:t xml:space="preserve"> </w:t>
      </w:r>
      <w:r w:rsidR="002147CF" w:rsidRPr="009F513F">
        <w:rPr>
          <w:rFonts w:eastAsia="Cambria"/>
          <w:b/>
        </w:rPr>
        <w:t>dni</w:t>
      </w:r>
      <w:r w:rsidR="004F7FB2">
        <w:rPr>
          <w:rFonts w:eastAsia="Cambria"/>
          <w:b/>
        </w:rPr>
        <w:t xml:space="preserve"> </w:t>
      </w:r>
      <w:r w:rsidRPr="00DE2E60">
        <w:rPr>
          <w:rFonts w:eastAsia="Cambria"/>
          <w:bCs/>
        </w:rPr>
        <w:t xml:space="preserve">od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B436B0">
      <w:pPr>
        <w:widowControl/>
        <w:numPr>
          <w:ilvl w:val="0"/>
          <w:numId w:val="8"/>
        </w:numPr>
        <w:spacing w:line="240" w:lineRule="auto"/>
        <w:ind w:left="426"/>
        <w:jc w:val="both"/>
      </w:pPr>
      <w:r w:rsidRPr="009F513F">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zniszczenia lub uszkodzeń dokonaniem napraw oraz doprowadzeniem do stanu pierwotnego, stwierdzoną przez kierownika budowy w dzienniku budowy i potwierdzoną przez inspektora nadzoru </w:t>
      </w:r>
      <w:r w:rsidRPr="009F513F">
        <w:rPr>
          <w:bCs/>
        </w:rPr>
        <w:t>Zamawiającego</w:t>
      </w:r>
      <w:r w:rsidRPr="009F513F">
        <w:t>.</w:t>
      </w:r>
      <w:r w:rsidR="00AA54AB" w:rsidRPr="009F513F">
        <w:t xml:space="preserve"> </w:t>
      </w:r>
      <w:r w:rsidR="003F713A" w:rsidRPr="009F513F">
        <w:t>W przypadku odmowy odbioru, terminem wykonana zamówienia będzie data ponownego zgłoszenia przez wykonawcę gotowości do odbioru przedmiotu zamówienia z usuniętymi wadami istot</w:t>
      </w:r>
      <w:r w:rsidR="006A6267" w:rsidRPr="009F513F">
        <w:t>nymi.</w:t>
      </w:r>
    </w:p>
    <w:p w:rsidR="006A6267" w:rsidRPr="00DE2E60" w:rsidRDefault="00DB653C" w:rsidP="00B436B0">
      <w:pPr>
        <w:widowControl/>
        <w:numPr>
          <w:ilvl w:val="0"/>
          <w:numId w:val="8"/>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6C4233" w:rsidP="00DE2E60">
      <w:pPr>
        <w:spacing w:line="240" w:lineRule="auto"/>
        <w:ind w:left="0" w:firstLine="0"/>
      </w:pP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 xml:space="preserve">Podstawą do określenia ceny, o której mowa w ust. 1, jest dokumentacja projektowa </w:t>
      </w:r>
      <w:r w:rsidR="0040715A" w:rsidRPr="00DE2E60">
        <w:rPr>
          <w:rFonts w:cs="Times New Roman"/>
          <w:iCs/>
        </w:rPr>
        <w:t>wskazana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Przedmiar robót ma charakter pomocniczy, w szczególności, jeżeli w przedmiarze robót nie ujęto prac wynikających z dokumentacji projektowej</w:t>
      </w:r>
      <w:r w:rsidRPr="00DE2E60">
        <w:rPr>
          <w:rFonts w:cs="Times New Roman"/>
          <w:iCs/>
        </w:rPr>
        <w:t xml:space="preserve">, </w:t>
      </w:r>
      <w:r w:rsidRPr="00DE2E60">
        <w:rPr>
          <w:rFonts w:eastAsia="Calibri" w:cs="Times New Roman"/>
        </w:rPr>
        <w:t>strony przyjmują, że wykonawca wykona roboty w zakresie wynikającym z dokumentacji projektowej bez dodatkowego wynagrodzenia.</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B436B0">
      <w:pPr>
        <w:widowControl/>
        <w:numPr>
          <w:ilvl w:val="0"/>
          <w:numId w:val="10"/>
        </w:numPr>
        <w:spacing w:line="240" w:lineRule="auto"/>
        <w:ind w:left="426"/>
        <w:contextualSpacing/>
        <w:jc w:val="both"/>
      </w:pPr>
      <w:r w:rsidRPr="007530C1">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Ewentualne roboty dodatkowe tj. nieobjęte w ogóle dokumentacją projektową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lastRenderedPageBreak/>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DE2E60" w:rsidRDefault="0040715A" w:rsidP="00CF2902">
      <w:pPr>
        <w:spacing w:line="240" w:lineRule="auto"/>
        <w:jc w:val="center"/>
      </w:pPr>
      <w:r w:rsidRPr="00DE2E60">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r w:rsidRPr="00DE2E60">
        <w:rPr>
          <w:rFonts w:ascii="Times New Roman" w:hAnsi="Times New Roman" w:cs="Times New Roman"/>
          <w:sz w:val="24"/>
          <w:szCs w:val="24"/>
        </w:rPr>
        <w:lastRenderedPageBreak/>
        <w:t>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w:t>
      </w:r>
      <w:r w:rsidRPr="00DE2E60">
        <w:rPr>
          <w:rFonts w:ascii="Times New Roman" w:hAnsi="Times New Roman" w:cs="Times New Roman"/>
          <w:sz w:val="24"/>
          <w:szCs w:val="24"/>
        </w:rPr>
        <w:lastRenderedPageBreak/>
        <w:t>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DE2E60">
      <w:pPr>
        <w:spacing w:line="240" w:lineRule="auto"/>
      </w:pPr>
    </w:p>
    <w:p w:rsidR="006C4233" w:rsidRPr="00DE2E60" w:rsidRDefault="006C4233" w:rsidP="00B436B0">
      <w:pPr>
        <w:numPr>
          <w:ilvl w:val="3"/>
          <w:numId w:val="11"/>
        </w:numPr>
        <w:spacing w:line="240" w:lineRule="auto"/>
        <w:ind w:left="426"/>
      </w:pPr>
      <w:r w:rsidRPr="00DE2E60">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dokumentacji projektowe</w:t>
      </w:r>
      <w:r w:rsidR="007530C1">
        <w:rPr>
          <w:iCs/>
        </w:rPr>
        <w:t>j</w:t>
      </w:r>
      <w:r w:rsidR="00306B7E" w:rsidRPr="00DE2E60">
        <w:rPr>
          <w:iCs/>
        </w:rPr>
        <w:t>,</w:t>
      </w:r>
      <w:r w:rsidR="00306B7E" w:rsidRPr="00DE2E60">
        <w:rPr>
          <w:i/>
          <w:iCs/>
        </w:rPr>
        <w:t xml:space="preserve">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B436B0">
      <w:pPr>
        <w:pStyle w:val="Akapitzlist"/>
        <w:numPr>
          <w:ilvl w:val="0"/>
          <w:numId w:val="12"/>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projektem budowlanym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B436B0">
      <w:pPr>
        <w:pStyle w:val="Akapitzlist"/>
        <w:numPr>
          <w:ilvl w:val="0"/>
          <w:numId w:val="12"/>
        </w:numPr>
        <w:spacing w:line="240" w:lineRule="auto"/>
        <w:ind w:left="709"/>
        <w:rPr>
          <w:rFonts w:cs="Times New Roman"/>
        </w:rPr>
      </w:pPr>
      <w:r w:rsidRPr="00DE2E60">
        <w:rPr>
          <w:rFonts w:cs="Times New Roman"/>
        </w:rPr>
        <w:t>zapewnienie w czasie prowadzonych robót stałego nadzoru technicznego w osobie posiadającej uprawnienia budowlane w zakresie objętym umową,</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urządzenie i utrzymanie zaplecza budowy,</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zabezpieczenie i oznakowanie terenu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 xml:space="preserve">ę w zasięgu </w:t>
      </w:r>
      <w:r w:rsidR="00DE0247" w:rsidRPr="00DE2E60">
        <w:rPr>
          <w:rFonts w:cs="Times New Roman"/>
        </w:rPr>
        <w:lastRenderedPageBreak/>
        <w:t>działania Wykonawcy i ponoszenie odpowiedzialności za ich zniszczenie lub naruszenie,</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dbanie o porządek na terenie budowy,</w:t>
      </w:r>
    </w:p>
    <w:p w:rsidR="0031787D" w:rsidRPr="007530C1" w:rsidRDefault="0031787D" w:rsidP="00B436B0">
      <w:pPr>
        <w:pStyle w:val="Akapitzlist"/>
        <w:numPr>
          <w:ilvl w:val="0"/>
          <w:numId w:val="12"/>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ubezpieczenie budowy,</w:t>
      </w:r>
    </w:p>
    <w:p w:rsidR="00CE0A78" w:rsidRPr="00DE2E60" w:rsidRDefault="00CE0A78" w:rsidP="00B436B0">
      <w:pPr>
        <w:widowControl/>
        <w:numPr>
          <w:ilvl w:val="0"/>
          <w:numId w:val="12"/>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B436B0">
      <w:pPr>
        <w:widowControl/>
        <w:numPr>
          <w:ilvl w:val="0"/>
          <w:numId w:val="12"/>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B436B0">
      <w:pPr>
        <w:widowControl/>
        <w:numPr>
          <w:ilvl w:val="0"/>
          <w:numId w:val="12"/>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B436B0">
      <w:pPr>
        <w:widowControl/>
        <w:numPr>
          <w:ilvl w:val="0"/>
          <w:numId w:val="12"/>
        </w:numPr>
        <w:spacing w:line="240" w:lineRule="auto"/>
        <w:ind w:left="709" w:hanging="357"/>
        <w:jc w:val="both"/>
      </w:pPr>
      <w:r w:rsidRPr="00DE2E60">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B436B0">
      <w:pPr>
        <w:pStyle w:val="Akapitzlist"/>
        <w:numPr>
          <w:ilvl w:val="0"/>
          <w:numId w:val="12"/>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B436B0">
      <w:pPr>
        <w:pStyle w:val="Akapitzlist"/>
        <w:numPr>
          <w:ilvl w:val="0"/>
          <w:numId w:val="12"/>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B436B0">
      <w:pPr>
        <w:pStyle w:val="Akapitzlist"/>
        <w:numPr>
          <w:ilvl w:val="0"/>
          <w:numId w:val="12"/>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B436B0">
      <w:pPr>
        <w:pStyle w:val="Akapitzlist"/>
        <w:numPr>
          <w:ilvl w:val="0"/>
          <w:numId w:val="12"/>
        </w:numPr>
        <w:spacing w:line="240" w:lineRule="auto"/>
        <w:ind w:left="709"/>
        <w:rPr>
          <w:rFonts w:cs="Times New Roman"/>
        </w:rPr>
      </w:pPr>
      <w:r w:rsidRPr="00DE2E60">
        <w:rPr>
          <w:rFonts w:eastAsia="Calibri" w:cs="Times New Roman"/>
        </w:rPr>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B436B0">
      <w:pPr>
        <w:pStyle w:val="Akapitzlist"/>
        <w:numPr>
          <w:ilvl w:val="0"/>
          <w:numId w:val="12"/>
        </w:numPr>
        <w:spacing w:line="240" w:lineRule="auto"/>
        <w:ind w:left="709"/>
        <w:rPr>
          <w:rFonts w:cs="Times New Roman"/>
        </w:rPr>
      </w:pPr>
      <w:r w:rsidRPr="007530C1">
        <w:rPr>
          <w:rFonts w:cs="Times New Roman"/>
        </w:rPr>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B436B0">
      <w:pPr>
        <w:pStyle w:val="Akapitzlist"/>
        <w:numPr>
          <w:ilvl w:val="0"/>
          <w:numId w:val="12"/>
        </w:numPr>
        <w:spacing w:line="240" w:lineRule="auto"/>
        <w:ind w:left="709"/>
        <w:rPr>
          <w:rFonts w:cs="Times New Roman"/>
        </w:rPr>
      </w:pPr>
      <w:r w:rsidRPr="00DE2E60">
        <w:rPr>
          <w:rFonts w:cs="Times New Roman"/>
        </w:rPr>
        <w:lastRenderedPageBreak/>
        <w:t>przygotowanie i przekazanie Zamawiającemu przed zgłoszeniem zakończenia robót i gotowości do odbioru końcowego, kompletnej dokumentacji powykonawczej,</w:t>
      </w:r>
    </w:p>
    <w:p w:rsidR="0018134A" w:rsidRPr="00DE2E60" w:rsidRDefault="006C4233" w:rsidP="00B436B0">
      <w:pPr>
        <w:pStyle w:val="Akapitzlist"/>
        <w:numPr>
          <w:ilvl w:val="0"/>
          <w:numId w:val="12"/>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B436B0">
      <w:pPr>
        <w:pStyle w:val="Akapitzlist"/>
        <w:numPr>
          <w:ilvl w:val="3"/>
          <w:numId w:val="11"/>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6C4233" w:rsidRPr="00DE2E60" w:rsidRDefault="00D87BD5" w:rsidP="00DE2E60">
      <w:pPr>
        <w:spacing w:line="240" w:lineRule="auto"/>
        <w:ind w:left="0" w:firstLine="4"/>
        <w:jc w:val="center"/>
      </w:pPr>
      <w:r w:rsidRPr="00DE2E60">
        <w:t>§ 6</w:t>
      </w:r>
    </w:p>
    <w:p w:rsidR="00476B12" w:rsidRPr="00DE2E60" w:rsidRDefault="00476B12" w:rsidP="00DE2E60">
      <w:pPr>
        <w:spacing w:line="240" w:lineRule="auto"/>
        <w:ind w:left="0" w:firstLine="0"/>
        <w:jc w:val="center"/>
        <w:rPr>
          <w:b/>
          <w:bCs/>
        </w:rPr>
      </w:pPr>
      <w:r w:rsidRPr="00DE2E60">
        <w:rPr>
          <w:b/>
          <w:bCs/>
        </w:rPr>
        <w:t>Obowiązki Kierownika budowy</w:t>
      </w:r>
    </w:p>
    <w:p w:rsidR="00163469" w:rsidRPr="00DE2E60" w:rsidRDefault="00163469" w:rsidP="00DE2E60">
      <w:pPr>
        <w:spacing w:line="240" w:lineRule="auto"/>
        <w:ind w:left="0" w:firstLine="0"/>
        <w:jc w:val="center"/>
        <w:rPr>
          <w:b/>
          <w:bCs/>
        </w:rPr>
      </w:pP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B436B0">
      <w:pPr>
        <w:numPr>
          <w:ilvl w:val="0"/>
          <w:numId w:val="14"/>
        </w:numPr>
        <w:spacing w:line="240" w:lineRule="auto"/>
        <w:jc w:val="both"/>
      </w:pPr>
      <w:r w:rsidRPr="00DE2E60">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B436B0">
      <w:pPr>
        <w:numPr>
          <w:ilvl w:val="0"/>
          <w:numId w:val="14"/>
        </w:numPr>
        <w:spacing w:line="240" w:lineRule="auto"/>
        <w:jc w:val="both"/>
      </w:pPr>
      <w:r w:rsidRPr="00DE2E60">
        <w:lastRenderedPageBreak/>
        <w:t xml:space="preserve">prowadzenia dziennika budowy, </w:t>
      </w:r>
    </w:p>
    <w:p w:rsidR="00476B12" w:rsidRPr="00DE2E60" w:rsidRDefault="00476B12" w:rsidP="00B436B0">
      <w:pPr>
        <w:numPr>
          <w:ilvl w:val="0"/>
          <w:numId w:val="14"/>
        </w:numPr>
        <w:spacing w:line="240" w:lineRule="auto"/>
        <w:jc w:val="both"/>
      </w:pPr>
      <w:r w:rsidRPr="00DE2E60">
        <w:t>przed wbudowaniem, przedkładanie Inspektorowi Nadzoru wniosków o zatwierdzenie do wbudowania materiałów,</w:t>
      </w:r>
    </w:p>
    <w:p w:rsidR="00476B12" w:rsidRPr="00DE2E60" w:rsidRDefault="00163469" w:rsidP="00B436B0">
      <w:pPr>
        <w:numPr>
          <w:ilvl w:val="0"/>
          <w:numId w:val="14"/>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B436B0">
      <w:pPr>
        <w:numPr>
          <w:ilvl w:val="0"/>
          <w:numId w:val="14"/>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B436B0">
      <w:pPr>
        <w:numPr>
          <w:ilvl w:val="0"/>
          <w:numId w:val="14"/>
        </w:numPr>
        <w:spacing w:line="240" w:lineRule="auto"/>
        <w:jc w:val="both"/>
      </w:pPr>
      <w:r w:rsidRPr="00DE2E60">
        <w:t xml:space="preserve">koordynowania wszystkich prac na budowie pomiędzy podwykonawcami, </w:t>
      </w:r>
    </w:p>
    <w:p w:rsidR="00476B12" w:rsidRPr="00DE2E60" w:rsidRDefault="00476B12" w:rsidP="00B436B0">
      <w:pPr>
        <w:numPr>
          <w:ilvl w:val="0"/>
          <w:numId w:val="14"/>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B436B0">
      <w:pPr>
        <w:numPr>
          <w:ilvl w:val="0"/>
          <w:numId w:val="14"/>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B436B0">
      <w:pPr>
        <w:numPr>
          <w:ilvl w:val="0"/>
          <w:numId w:val="14"/>
        </w:numPr>
        <w:spacing w:line="240" w:lineRule="auto"/>
        <w:jc w:val="both"/>
      </w:pPr>
      <w:r w:rsidRPr="00DE2E60">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B436B0">
      <w:pPr>
        <w:numPr>
          <w:ilvl w:val="0"/>
          <w:numId w:val="14"/>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BA4E93" w:rsidRPr="00DE2E60" w:rsidRDefault="00BA4E93" w:rsidP="00DE2E60">
      <w:pPr>
        <w:spacing w:line="240" w:lineRule="auto"/>
        <w:ind w:left="0" w:firstLine="0"/>
        <w:jc w:val="center"/>
      </w:pP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lastRenderedPageBreak/>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D87BD5" w:rsidRPr="00DE2E60" w:rsidRDefault="00D87BD5" w:rsidP="00DE2E60">
      <w:pPr>
        <w:widowControl/>
        <w:spacing w:line="240" w:lineRule="auto"/>
        <w:ind w:left="0" w:firstLine="0"/>
        <w:jc w:val="center"/>
        <w:rPr>
          <w:rFonts w:eastAsia="Calibri"/>
          <w:b/>
          <w:bCs/>
          <w:lang w:eastAsia="en-US"/>
        </w:rPr>
      </w:pPr>
    </w:p>
    <w:p w:rsidR="00BA4E93" w:rsidRPr="00DE2E60" w:rsidRDefault="00BA4E93" w:rsidP="00B436B0">
      <w:pPr>
        <w:widowControl/>
        <w:numPr>
          <w:ilvl w:val="0"/>
          <w:numId w:val="17"/>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B436B0">
      <w:pPr>
        <w:widowControl/>
        <w:numPr>
          <w:ilvl w:val="0"/>
          <w:numId w:val="1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lastRenderedPageBreak/>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zawierania umów o podwykonawstwo z dalszymi podwykonawcami.</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 xml:space="preserve">Zamawiający może zażądać od Wykonawcy niezwłocznego usunięcia z terenu budowy podwykonawcy lub dalszego podwykonawcy, z którym nie została zawarta Umowa o </w:t>
      </w:r>
      <w:r w:rsidRPr="00DE2E60">
        <w:rPr>
          <w:lang w:eastAsia="ar-SA"/>
        </w:rPr>
        <w:lastRenderedPageBreak/>
        <w:t>podwykonawstwo zaakceptowana przez Zamawiającego, lub może usunąć takiego podwykonawcę lub dalszego podwykonawcę na koszt Wykonawcy.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D87BD5" w:rsidP="00DE2E60">
      <w:pPr>
        <w:suppressAutoHyphens/>
        <w:spacing w:line="240" w:lineRule="auto"/>
        <w:ind w:left="0" w:firstLine="0"/>
        <w:jc w:val="center"/>
        <w:textAlignment w:val="baseline"/>
        <w:rPr>
          <w:rFonts w:eastAsia="Calibri"/>
          <w:lang w:eastAsia="en-US"/>
        </w:rPr>
      </w:pP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CF2902" w:rsidRPr="00DE2E60" w:rsidRDefault="00CF2902" w:rsidP="00DE2E60">
      <w:pPr>
        <w:shd w:val="clear" w:color="auto" w:fill="FFFFFF"/>
        <w:suppressAutoHyphens/>
        <w:autoSpaceDE/>
        <w:autoSpaceDN/>
        <w:spacing w:line="240" w:lineRule="auto"/>
        <w:ind w:left="0" w:firstLine="0"/>
        <w:jc w:val="center"/>
        <w:textAlignment w:val="baseline"/>
        <w:rPr>
          <w:b/>
          <w:bCs/>
          <w:spacing w:val="-11"/>
          <w:lang w:eastAsia="ar-SA"/>
        </w:rPr>
      </w:pP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CF2902" w:rsidRPr="00DE2E60" w:rsidRDefault="00CF2902" w:rsidP="00DE2E60">
      <w:pPr>
        <w:suppressAutoHyphens/>
        <w:spacing w:line="240" w:lineRule="auto"/>
        <w:ind w:left="0" w:firstLine="0"/>
        <w:jc w:val="center"/>
        <w:textAlignment w:val="baseline"/>
        <w:rPr>
          <w:rFonts w:eastAsia="Calibri"/>
          <w:b/>
          <w:bCs/>
          <w:lang w:eastAsia="ar-SA"/>
        </w:rPr>
      </w:pPr>
    </w:p>
    <w:p w:rsidR="00F14AEE" w:rsidRPr="00DE2E60" w:rsidRDefault="00F14AEE" w:rsidP="00B436B0">
      <w:pPr>
        <w:widowControl/>
        <w:numPr>
          <w:ilvl w:val="0"/>
          <w:numId w:val="19"/>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rFonts w:eastAsia="Calibri"/>
          <w:lang w:eastAsia="ar-SA"/>
        </w:rPr>
      </w:pPr>
      <w:r w:rsidRPr="00DE2E60">
        <w:rPr>
          <w:rFonts w:eastAsia="Calibri"/>
          <w:lang w:eastAsia="ar-SA"/>
        </w:rPr>
        <w:t xml:space="preserve">Wykonawca, </w:t>
      </w:r>
      <w:r w:rsidR="00DB17F2">
        <w:rPr>
          <w:rFonts w:eastAsia="Calibri"/>
          <w:lang w:eastAsia="ar-SA"/>
        </w:rPr>
        <w:t>na wezwanie Zamawiającego</w:t>
      </w:r>
      <w:r w:rsidRPr="00DE2E60">
        <w:rPr>
          <w:rFonts w:eastAsia="Calibri"/>
          <w:lang w:eastAsia="ar-SA"/>
        </w:rPr>
        <w:t xml:space="preserve"> przedstawi </w:t>
      </w:r>
      <w:r w:rsidRPr="00DE2E60">
        <w:rPr>
          <w:lang w:eastAsia="ar-SA"/>
        </w:rPr>
        <w:t xml:space="preserve">oświadczenie </w:t>
      </w:r>
      <w:r w:rsidR="00DB17F2">
        <w:rPr>
          <w:lang w:eastAsia="ar-SA"/>
        </w:rPr>
        <w:t>swoje</w:t>
      </w:r>
      <w:r w:rsidRPr="00DE2E60">
        <w:rPr>
          <w:lang w:eastAsia="ar-SA"/>
        </w:rPr>
        <w:t xml:space="preserve">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E2E60">
        <w:rPr>
          <w:shd w:val="clear" w:color="auto" w:fill="FFFFFF"/>
          <w:lang w:eastAsia="ar-SA"/>
        </w:rPr>
        <w:t xml:space="preserve">imienia i nazwiska </w:t>
      </w:r>
      <w:r w:rsidRPr="00DE2E60">
        <w:rPr>
          <w:shd w:val="clear" w:color="auto" w:fill="FFFFFF"/>
          <w:lang w:eastAsia="ar-SA"/>
        </w:rPr>
        <w:lastRenderedPageBreak/>
        <w:t>zatrudnionego pracownika, daty zawarcia umowy o pracę, rodzaju umowy o pracę i zakresu obowiązków pracownika</w:t>
      </w:r>
      <w:r w:rsidRPr="00DE2E60">
        <w:rPr>
          <w:lang w:eastAsia="ar-SA"/>
        </w:rPr>
        <w:t>.</w:t>
      </w:r>
    </w:p>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lang w:eastAsia="ar-SA"/>
        </w:rPr>
      </w:pPr>
      <w:r w:rsidRPr="00DE2E60">
        <w:rPr>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B436B0">
      <w:pPr>
        <w:pStyle w:val="Akapitzlist"/>
        <w:numPr>
          <w:ilvl w:val="0"/>
          <w:numId w:val="20"/>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B436B0">
      <w:pPr>
        <w:pStyle w:val="Akapitzlist"/>
        <w:numPr>
          <w:ilvl w:val="0"/>
          <w:numId w:val="19"/>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B436B0">
      <w:pPr>
        <w:pStyle w:val="Akapitzlist"/>
        <w:numPr>
          <w:ilvl w:val="0"/>
          <w:numId w:val="21"/>
        </w:numPr>
        <w:spacing w:line="240" w:lineRule="auto"/>
        <w:textAlignment w:val="baseline"/>
        <w:rPr>
          <w:rFonts w:cs="Times New Roman"/>
        </w:rPr>
      </w:pPr>
      <w:r w:rsidRPr="00DE2E60">
        <w:rPr>
          <w:rFonts w:cs="Times New Roman"/>
        </w:rPr>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lastRenderedPageBreak/>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F2902" w:rsidRPr="00DE2E60" w:rsidRDefault="00CF2902" w:rsidP="00DE2E60">
      <w:pPr>
        <w:suppressAutoHyphens/>
        <w:spacing w:line="240" w:lineRule="auto"/>
        <w:ind w:left="426" w:firstLine="0"/>
        <w:jc w:val="center"/>
        <w:textAlignment w:val="baseline"/>
        <w:rPr>
          <w:rFonts w:eastAsia="Calibri"/>
          <w:b/>
          <w:bCs/>
          <w:lang w:eastAsia="ar-SA"/>
        </w:rPr>
      </w:pP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C75FD5" w:rsidRPr="00DE2E60" w:rsidRDefault="00C75FD5" w:rsidP="00DE2E60">
      <w:pPr>
        <w:suppressAutoHyphens/>
        <w:spacing w:line="240" w:lineRule="auto"/>
        <w:ind w:left="567" w:hanging="567"/>
        <w:jc w:val="center"/>
        <w:textAlignment w:val="baseline"/>
        <w:rPr>
          <w:rFonts w:eastAsia="Calibri"/>
          <w:b/>
          <w:bCs/>
          <w:lang w:eastAsia="ar-SA"/>
        </w:rPr>
      </w:pP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lastRenderedPageBreak/>
        <w:t>odstąpić od umowy lub żądać ponownego wykonania przedmiotu zamówienia, jeżeli wady uniemożliwiają użytkowanie przedmiotu zamówienia zgodnie z przeznaczeniem.</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DE2E60">
      <w:pPr>
        <w:spacing w:line="240" w:lineRule="auto"/>
        <w:ind w:left="284" w:hanging="261"/>
        <w:jc w:val="center"/>
      </w:pPr>
    </w:p>
    <w:p w:rsidR="00F83F72" w:rsidRPr="009F513F" w:rsidRDefault="00F83F72" w:rsidP="00B436B0">
      <w:pPr>
        <w:numPr>
          <w:ilvl w:val="3"/>
          <w:numId w:val="5"/>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B436B0">
      <w:pPr>
        <w:numPr>
          <w:ilvl w:val="3"/>
          <w:numId w:val="5"/>
        </w:numPr>
        <w:spacing w:line="240" w:lineRule="auto"/>
        <w:ind w:left="426"/>
        <w:jc w:val="both"/>
      </w:pPr>
      <w:r w:rsidRPr="009F513F">
        <w:t>W przypadku wygaśnięcia umowy ubezpieczenia przed końcem realizacji przedmiotu umowy Wykonawca zobowiązuje się do zawarcia nowej umowy ubezpieczenia z zacho</w:t>
      </w:r>
      <w:r w:rsidR="009F513F" w:rsidRPr="009F513F">
        <w:t>waniem ciągłości ubezpieczenia</w:t>
      </w:r>
      <w:r w:rsidRPr="009F513F">
        <w:t>.</w:t>
      </w:r>
    </w:p>
    <w:p w:rsidR="00F83F72" w:rsidRPr="009F513F" w:rsidRDefault="00F83F72" w:rsidP="00B436B0">
      <w:pPr>
        <w:numPr>
          <w:ilvl w:val="3"/>
          <w:numId w:val="5"/>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B436B0">
      <w:pPr>
        <w:numPr>
          <w:ilvl w:val="3"/>
          <w:numId w:val="5"/>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DE2E60">
      <w:pPr>
        <w:widowControl/>
        <w:spacing w:line="240" w:lineRule="auto"/>
        <w:ind w:left="0" w:firstLine="0"/>
        <w:jc w:val="center"/>
        <w:rPr>
          <w:rFonts w:eastAsia="Calibri"/>
          <w:b/>
          <w:bCs/>
          <w:lang w:eastAsia="en-US"/>
        </w:rPr>
      </w:pP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B436B0">
      <w:pPr>
        <w:pStyle w:val="Akapitzlist"/>
        <w:numPr>
          <w:ilvl w:val="0"/>
          <w:numId w:val="25"/>
        </w:numPr>
        <w:spacing w:line="240" w:lineRule="auto"/>
        <w:ind w:left="499" w:hanging="357"/>
        <w:rPr>
          <w:rFonts w:eastAsia="Lucida Sans Unicode"/>
          <w:kern w:val="3"/>
        </w:rPr>
      </w:pPr>
      <w:r w:rsidRPr="009F513F">
        <w:rPr>
          <w:rFonts w:eastAsia="Lucida Sans Unicode"/>
          <w:kern w:val="3"/>
        </w:rPr>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B436B0">
      <w:pPr>
        <w:pStyle w:val="Akapitzlist"/>
        <w:numPr>
          <w:ilvl w:val="0"/>
          <w:numId w:val="25"/>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AA4D49" w:rsidRPr="00AA4D49" w:rsidRDefault="00AA4D49" w:rsidP="00AA4D49">
      <w:pPr>
        <w:spacing w:line="240" w:lineRule="auto"/>
        <w:ind w:left="142" w:firstLine="0"/>
        <w:textAlignment w:val="baseline"/>
        <w:rPr>
          <w:rFonts w:eastAsia="Lucida Sans Unicode"/>
          <w:kern w:val="3"/>
        </w:rPr>
      </w:pP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lastRenderedPageBreak/>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3D3BE4" w:rsidRPr="00DE2E60" w:rsidRDefault="003D3BE4" w:rsidP="00DE2E60">
      <w:pPr>
        <w:widowControl/>
        <w:spacing w:line="240" w:lineRule="auto"/>
        <w:ind w:left="0" w:firstLine="0"/>
        <w:jc w:val="center"/>
        <w:rPr>
          <w:rFonts w:eastAsia="Calibri"/>
          <w:b/>
          <w:bCs/>
          <w:lang w:eastAsia="en-US"/>
        </w:rPr>
      </w:pP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B436B0">
      <w:pPr>
        <w:widowControl/>
        <w:numPr>
          <w:ilvl w:val="0"/>
          <w:numId w:val="27"/>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w:t>
      </w:r>
      <w:r w:rsidRPr="00DE2E60">
        <w:rPr>
          <w:color w:val="000000"/>
          <w:spacing w:val="9"/>
          <w:lang w:eastAsia="ar-SA"/>
        </w:rPr>
        <w:lastRenderedPageBreak/>
        <w:t xml:space="preserve">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B436B0">
      <w:pPr>
        <w:widowControl/>
        <w:numPr>
          <w:ilvl w:val="0"/>
          <w:numId w:val="27"/>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1E7A5C" w:rsidRPr="001E7A5C" w:rsidRDefault="001E7A5C" w:rsidP="001E7A5C">
      <w:pPr>
        <w:widowControl/>
        <w:spacing w:line="240" w:lineRule="auto"/>
        <w:ind w:left="0" w:firstLine="0"/>
        <w:jc w:val="center"/>
        <w:rPr>
          <w:rFonts w:eastAsia="Calibri"/>
          <w:b/>
          <w:bCs/>
          <w:lang w:eastAsia="en-US"/>
        </w:rPr>
      </w:pPr>
    </w:p>
    <w:p w:rsidR="006000AF" w:rsidRPr="006000AF" w:rsidRDefault="006000AF"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B436B0">
      <w:pPr>
        <w:pStyle w:val="Akapitzlist"/>
        <w:numPr>
          <w:ilvl w:val="1"/>
          <w:numId w:val="29"/>
        </w:numPr>
        <w:spacing w:line="240" w:lineRule="auto"/>
        <w:contextualSpacing/>
        <w:rPr>
          <w:rFonts w:eastAsia="Calibri"/>
          <w:lang w:eastAsia="en-US"/>
        </w:rPr>
      </w:pPr>
      <w:r w:rsidRPr="006000AF">
        <w:rPr>
          <w:rFonts w:eastAsia="Calibri"/>
          <w:lang w:eastAsia="en-US"/>
        </w:rPr>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B436B0">
      <w:pPr>
        <w:pStyle w:val="Akapitzlist"/>
        <w:numPr>
          <w:ilvl w:val="1"/>
          <w:numId w:val="29"/>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B436B0">
      <w:pPr>
        <w:pStyle w:val="Akapitzlist"/>
        <w:numPr>
          <w:ilvl w:val="0"/>
          <w:numId w:val="30"/>
        </w:numPr>
        <w:spacing w:line="240" w:lineRule="auto"/>
        <w:ind w:left="851" w:hanging="425"/>
        <w:rPr>
          <w:rFonts w:eastAsia="Calibri" w:cs="Times New Roman"/>
          <w:kern w:val="0"/>
          <w:lang w:eastAsia="en-US"/>
        </w:rPr>
      </w:pPr>
      <w:r w:rsidRPr="00517448">
        <w:rPr>
          <w:rFonts w:eastAsia="Calibri" w:cs="Times New Roman"/>
          <w:kern w:val="0"/>
          <w:lang w:eastAsia="en-US"/>
        </w:rPr>
        <w:t>zostanie ogłoszona upadłość lub rozwiązanie firmy Wykonawcy,</w:t>
      </w:r>
    </w:p>
    <w:p w:rsidR="00517448"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lastRenderedPageBreak/>
        <w:t>Odstąpienie od umowy powinno nastąpić w formie pisemnej pod rygorem nieważności takiego odstąpienia i powinno zawierać uzasadnienie.</w:t>
      </w:r>
    </w:p>
    <w:p w:rsidR="00517448" w:rsidRPr="00517448" w:rsidRDefault="00517448"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usunie z terenu budowy urządzenia zaplecza budowy przez niego dostarczone lub wniesione materiały i urządzenia, niestanowiące własności Zamawiającego lub ustali zasady przekazania tego majątku Zamawiającemu.</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w:t>
      </w:r>
      <w:r w:rsidRPr="001E7A5C">
        <w:rPr>
          <w:lang w:eastAsia="ar-SA"/>
        </w:rPr>
        <w:lastRenderedPageBreak/>
        <w:t>uprawniony jest do usunięcia sprzętu i robót tymczasowych na koszt i ryzyko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B436B0">
      <w:pPr>
        <w:widowControl/>
        <w:numPr>
          <w:ilvl w:val="0"/>
          <w:numId w:val="29"/>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E14014" w:rsidRPr="001D2759" w:rsidRDefault="00E14014" w:rsidP="00E14014">
      <w:pPr>
        <w:widowControl/>
        <w:spacing w:line="240" w:lineRule="auto"/>
        <w:ind w:left="0" w:firstLine="0"/>
        <w:jc w:val="center"/>
        <w:rPr>
          <w:rFonts w:eastAsia="Calibri"/>
          <w:b/>
          <w:bCs/>
          <w:color w:val="000000"/>
          <w:lang w:eastAsia="en-US"/>
        </w:rPr>
      </w:pPr>
    </w:p>
    <w:p w:rsidR="00CF2902" w:rsidRPr="00CF2902"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t>
      </w:r>
      <w:r w:rsidRPr="001D2759">
        <w:rPr>
          <w:rFonts w:eastAsia="Calibri"/>
        </w:rPr>
        <w:lastRenderedPageBreak/>
        <w:t xml:space="preserve">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zł za każdy dzień roboczy, 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B436B0">
      <w:pPr>
        <w:pStyle w:val="Akapitzlist"/>
        <w:numPr>
          <w:ilvl w:val="0"/>
          <w:numId w:val="32"/>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nie może 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lastRenderedPageBreak/>
        <w:t xml:space="preserve"> w formie pisemnej listem poleconym za potwierdzeniem odbioru na adres </w:t>
      </w:r>
      <w:r w:rsidR="00F53485">
        <w:rPr>
          <w:color w:val="000000"/>
          <w:lang w:eastAsia="ar-SA"/>
        </w:rPr>
        <w:t>siedziby Wykonawcy,</w:t>
      </w:r>
    </w:p>
    <w:p w:rsidR="0032656F" w:rsidRPr="00D03E9C"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B436B0">
      <w:pPr>
        <w:pStyle w:val="Akapitzlist"/>
        <w:numPr>
          <w:ilvl w:val="0"/>
          <w:numId w:val="32"/>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D03E9C" w:rsidRPr="00D03E9C" w:rsidRDefault="00D03E9C" w:rsidP="00D03E9C">
      <w:pPr>
        <w:pStyle w:val="Akapitzlist"/>
        <w:tabs>
          <w:tab w:val="left" w:pos="709"/>
        </w:tabs>
        <w:spacing w:line="240" w:lineRule="auto"/>
        <w:contextualSpacing/>
        <w:rPr>
          <w:rFonts w:eastAsia="Calibri"/>
          <w:color w:val="000000"/>
          <w:lang w:eastAsia="en-US"/>
        </w:rPr>
      </w:pP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t>Zmiany umowy</w:t>
      </w:r>
    </w:p>
    <w:p w:rsidR="00C358AC" w:rsidRPr="00D03E9C" w:rsidRDefault="00C358AC" w:rsidP="00DE2E60">
      <w:pPr>
        <w:spacing w:line="240" w:lineRule="auto"/>
        <w:ind w:left="0" w:firstLine="4"/>
        <w:jc w:val="center"/>
        <w:rPr>
          <w:b/>
        </w:rPr>
      </w:pPr>
    </w:p>
    <w:p w:rsidR="00C358AC" w:rsidRPr="00C358AC"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sobie dni kalendarzowych, potwierdzone pisemnie przez Inspektora nadzoru – przy czym przedłużenie terminu realizacji zamówienia nastąpi o tyle dni, przez ile trwało ich wstrzymanie</w:t>
      </w:r>
    </w:p>
    <w:p w:rsidR="006833AD" w:rsidRDefault="0012318E" w:rsidP="00B436B0">
      <w:pPr>
        <w:pStyle w:val="Akapitzlist"/>
        <w:numPr>
          <w:ilvl w:val="2"/>
          <w:numId w:val="24"/>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Wystąpienie robót dodatkowych, zaniechanych, zamiennych – potwierdzone stosownymi protokołami konieczności, zmiana wynagrodzenia i terminu.</w:t>
      </w:r>
    </w:p>
    <w:p w:rsidR="006833AD" w:rsidRDefault="0012318E"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lastRenderedPageBreak/>
        <w:t>Zmiana osób, przy pomocy których Wykonawca i Zamawiający realizuje przedmiot umowy na inne spełniające warunki określone w SWZ</w:t>
      </w:r>
      <w:r w:rsidR="00517CB1">
        <w:rPr>
          <w:rFonts w:eastAsia="Calibri"/>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B436B0">
      <w:pPr>
        <w:pStyle w:val="Akapitzlist"/>
        <w:numPr>
          <w:ilvl w:val="0"/>
          <w:numId w:val="37"/>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B436B0">
      <w:pPr>
        <w:pStyle w:val="Akapitzlist"/>
        <w:numPr>
          <w:ilvl w:val="0"/>
          <w:numId w:val="37"/>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B436B0">
      <w:pPr>
        <w:pStyle w:val="Bezodstpw"/>
        <w:numPr>
          <w:ilvl w:val="0"/>
          <w:numId w:val="35"/>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B436B0">
      <w:pPr>
        <w:pStyle w:val="Bezodstpw"/>
        <w:numPr>
          <w:ilvl w:val="0"/>
          <w:numId w:val="35"/>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t>§ 19</w:t>
      </w:r>
    </w:p>
    <w:p w:rsidR="00D26793" w:rsidRDefault="00D26793" w:rsidP="00DE2E60">
      <w:pPr>
        <w:spacing w:line="240" w:lineRule="auto"/>
        <w:ind w:left="0" w:firstLine="0"/>
        <w:jc w:val="center"/>
        <w:rPr>
          <w:b/>
          <w:bCs/>
        </w:rPr>
      </w:pPr>
      <w:r w:rsidRPr="00DE2E60">
        <w:rPr>
          <w:b/>
          <w:bCs/>
        </w:rPr>
        <w:t>Cesja</w:t>
      </w:r>
    </w:p>
    <w:p w:rsidR="0036123D" w:rsidRPr="00DE2E60" w:rsidRDefault="0036123D" w:rsidP="00DE2E60">
      <w:pPr>
        <w:spacing w:line="240" w:lineRule="auto"/>
        <w:ind w:left="0" w:firstLine="0"/>
        <w:jc w:val="center"/>
        <w:rPr>
          <w:b/>
          <w:bCs/>
        </w:rPr>
      </w:pP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A15CF5" w:rsidRPr="00DE2E60" w:rsidRDefault="00A15CF5" w:rsidP="00DE2E60">
      <w:pPr>
        <w:spacing w:line="240" w:lineRule="auto"/>
        <w:ind w:left="0" w:firstLine="0"/>
      </w:pP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C469C4">
      <w:pPr>
        <w:suppressAutoHyphens/>
        <w:spacing w:line="240" w:lineRule="auto"/>
        <w:ind w:left="0" w:firstLine="0"/>
        <w:jc w:val="center"/>
        <w:rPr>
          <w:rFonts w:eastAsia="Calibri"/>
          <w:b/>
          <w:bCs/>
          <w:lang w:eastAsia="ar-SA"/>
        </w:rPr>
      </w:pP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po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0"/>
        <w:jc w:val="both"/>
      </w:pPr>
    </w:p>
    <w:p w:rsidR="006C4233" w:rsidRDefault="006C4233" w:rsidP="006C4233">
      <w:pPr>
        <w:spacing w:line="240" w:lineRule="auto"/>
        <w:ind w:left="0" w:firstLine="4"/>
        <w:jc w:val="both"/>
      </w:pPr>
    </w:p>
    <w:p w:rsidR="006C4233" w:rsidRPr="00C83532" w:rsidRDefault="006C4233" w:rsidP="006C4233">
      <w:pPr>
        <w:spacing w:line="240" w:lineRule="auto"/>
        <w:ind w:left="0" w:firstLine="4"/>
        <w:jc w:val="center"/>
        <w:rPr>
          <w:b/>
          <w:sz w:val="28"/>
        </w:rPr>
      </w:pPr>
      <w:r w:rsidRPr="00C83532">
        <w:rPr>
          <w:b/>
          <w:sz w:val="28"/>
        </w:rPr>
        <w:t xml:space="preserve">Zamawiający                                                                            </w:t>
      </w:r>
      <w:r w:rsidRPr="00C83532">
        <w:rPr>
          <w:b/>
          <w:sz w:val="28"/>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39F" w:rsidRDefault="009A239F" w:rsidP="00D87BD5">
      <w:pPr>
        <w:spacing w:line="240" w:lineRule="auto"/>
      </w:pPr>
      <w:r>
        <w:separator/>
      </w:r>
    </w:p>
  </w:endnote>
  <w:endnote w:type="continuationSeparator" w:id="0">
    <w:p w:rsidR="009A239F" w:rsidRDefault="009A239F"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39F" w:rsidRDefault="009A239F" w:rsidP="00D87BD5">
      <w:pPr>
        <w:spacing w:line="240" w:lineRule="auto"/>
      </w:pPr>
      <w:r>
        <w:separator/>
      </w:r>
    </w:p>
  </w:footnote>
  <w:footnote w:type="continuationSeparator" w:id="0">
    <w:p w:rsidR="009A239F" w:rsidRDefault="009A239F" w:rsidP="00D87B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1">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0C635F"/>
    <w:multiLevelType w:val="hybridMultilevel"/>
    <w:tmpl w:val="FA7E3C76"/>
    <w:lvl w:ilvl="0" w:tplc="D8EC8CD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2644B0"/>
    <w:multiLevelType w:val="hybridMultilevel"/>
    <w:tmpl w:val="80920530"/>
    <w:lvl w:ilvl="0" w:tplc="30D028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D501187"/>
    <w:multiLevelType w:val="multilevel"/>
    <w:tmpl w:val="7AACAE96"/>
    <w:lvl w:ilvl="0">
      <w:start w:val="7"/>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6">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2E720582"/>
    <w:multiLevelType w:val="hybridMultilevel"/>
    <w:tmpl w:val="0A606884"/>
    <w:lvl w:ilvl="0" w:tplc="28CC8EB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E886480"/>
    <w:multiLevelType w:val="hybridMultilevel"/>
    <w:tmpl w:val="168ECB42"/>
    <w:lvl w:ilvl="0" w:tplc="52D653F0">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nsid w:val="31F67110"/>
    <w:multiLevelType w:val="hybridMultilevel"/>
    <w:tmpl w:val="2C3EA374"/>
    <w:lvl w:ilvl="0" w:tplc="AD900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3A4AC0"/>
    <w:multiLevelType w:val="hybridMultilevel"/>
    <w:tmpl w:val="F774C434"/>
    <w:lvl w:ilvl="0" w:tplc="DB32C1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7">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9E87B71"/>
    <w:multiLevelType w:val="hybridMultilevel"/>
    <w:tmpl w:val="13BEB842"/>
    <w:lvl w:ilvl="0" w:tplc="D556C8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E6D7D37"/>
    <w:multiLevelType w:val="multilevel"/>
    <w:tmpl w:val="F5B6F780"/>
    <w:lvl w:ilvl="0">
      <w:start w:val="10"/>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4">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2827A5E"/>
    <w:multiLevelType w:val="multilevel"/>
    <w:tmpl w:val="2C1C962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6">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nsid w:val="6D871FEA"/>
    <w:multiLevelType w:val="hybridMultilevel"/>
    <w:tmpl w:val="2CF286A8"/>
    <w:lvl w:ilvl="0" w:tplc="207C81B2">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9817D6"/>
    <w:multiLevelType w:val="hybridMultilevel"/>
    <w:tmpl w:val="7D00E3BE"/>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7F193B7D"/>
    <w:multiLevelType w:val="hybridMultilevel"/>
    <w:tmpl w:val="D9D6936E"/>
    <w:lvl w:ilvl="0" w:tplc="48F450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0"/>
  </w:num>
  <w:num w:numId="9">
    <w:abstractNumId w:val="10"/>
  </w:num>
  <w:num w:numId="10">
    <w:abstractNumId w:val="13"/>
  </w:num>
  <w:num w:numId="11">
    <w:abstractNumId w:val="16"/>
  </w:num>
  <w:num w:numId="12">
    <w:abstractNumId w:val="20"/>
  </w:num>
  <w:num w:numId="13">
    <w:abstractNumId w:val="7"/>
  </w:num>
  <w:num w:numId="14">
    <w:abstractNumId w:val="11"/>
  </w:num>
  <w:num w:numId="15">
    <w:abstractNumId w:val="31"/>
  </w:num>
  <w:num w:numId="16">
    <w:abstractNumId w:val="27"/>
  </w:num>
  <w:num w:numId="17">
    <w:abstractNumId w:val="39"/>
  </w:num>
  <w:num w:numId="18">
    <w:abstractNumId w:val="34"/>
  </w:num>
  <w:num w:numId="19">
    <w:abstractNumId w:val="3"/>
  </w:num>
  <w:num w:numId="20">
    <w:abstractNumId w:val="4"/>
  </w:num>
  <w:num w:numId="21">
    <w:abstractNumId w:val="8"/>
  </w:num>
  <w:num w:numId="22">
    <w:abstractNumId w:val="9"/>
  </w:num>
  <w:num w:numId="23">
    <w:abstractNumId w:val="37"/>
  </w:num>
  <w:num w:numId="24">
    <w:abstractNumId w:val="26"/>
  </w:num>
  <w:num w:numId="25">
    <w:abstractNumId w:val="25"/>
  </w:num>
  <w:num w:numId="26">
    <w:abstractNumId w:val="38"/>
  </w:num>
  <w:num w:numId="27">
    <w:abstractNumId w:val="22"/>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40"/>
  </w:num>
  <w:num w:numId="38">
    <w:abstractNumId w:val="33"/>
  </w:num>
  <w:num w:numId="39">
    <w:abstractNumId w:val="23"/>
  </w:num>
  <w:num w:numId="40">
    <w:abstractNumId w:val="35"/>
  </w:num>
  <w:num w:numId="41">
    <w:abstractNumId w:val="41"/>
  </w:num>
  <w:num w:numId="42">
    <w:abstractNumId w:val="21"/>
  </w:num>
  <w:num w:numId="43">
    <w:abstractNumId w:val="15"/>
  </w:num>
  <w:num w:numId="44">
    <w:abstractNumId w:val="12"/>
  </w:num>
  <w:num w:numId="45">
    <w:abstractNumId w:val="6"/>
  </w:num>
  <w:num w:numId="46">
    <w:abstractNumId w:val="32"/>
  </w:num>
  <w:num w:numId="47">
    <w:abstractNumId w:val="1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36B1A"/>
    <w:rsid w:val="00046BAE"/>
    <w:rsid w:val="000669F6"/>
    <w:rsid w:val="00081D14"/>
    <w:rsid w:val="00092A05"/>
    <w:rsid w:val="000952B0"/>
    <w:rsid w:val="000A06BF"/>
    <w:rsid w:val="000A1035"/>
    <w:rsid w:val="000E0662"/>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B27AF"/>
    <w:rsid w:val="001D011D"/>
    <w:rsid w:val="001D2759"/>
    <w:rsid w:val="001D5A9E"/>
    <w:rsid w:val="001E1024"/>
    <w:rsid w:val="001E7A5C"/>
    <w:rsid w:val="002147CF"/>
    <w:rsid w:val="00216E08"/>
    <w:rsid w:val="002421AC"/>
    <w:rsid w:val="0025003A"/>
    <w:rsid w:val="00252B4F"/>
    <w:rsid w:val="002535E5"/>
    <w:rsid w:val="00264154"/>
    <w:rsid w:val="00264DBB"/>
    <w:rsid w:val="002662B8"/>
    <w:rsid w:val="002757B6"/>
    <w:rsid w:val="00276F34"/>
    <w:rsid w:val="00291E82"/>
    <w:rsid w:val="00292B56"/>
    <w:rsid w:val="002B2967"/>
    <w:rsid w:val="002C1A99"/>
    <w:rsid w:val="002D2320"/>
    <w:rsid w:val="00306B7E"/>
    <w:rsid w:val="0031191A"/>
    <w:rsid w:val="003148D7"/>
    <w:rsid w:val="0031787D"/>
    <w:rsid w:val="00320B82"/>
    <w:rsid w:val="0032656F"/>
    <w:rsid w:val="00340E17"/>
    <w:rsid w:val="0036123D"/>
    <w:rsid w:val="00362A78"/>
    <w:rsid w:val="00363426"/>
    <w:rsid w:val="00392433"/>
    <w:rsid w:val="003B3A13"/>
    <w:rsid w:val="003D2BD8"/>
    <w:rsid w:val="003D3BE4"/>
    <w:rsid w:val="003F713A"/>
    <w:rsid w:val="0040715A"/>
    <w:rsid w:val="0041585C"/>
    <w:rsid w:val="004466B2"/>
    <w:rsid w:val="00461DF0"/>
    <w:rsid w:val="00470A6C"/>
    <w:rsid w:val="00476B12"/>
    <w:rsid w:val="004822BB"/>
    <w:rsid w:val="00486613"/>
    <w:rsid w:val="004A4AAB"/>
    <w:rsid w:val="004A5891"/>
    <w:rsid w:val="004B35AF"/>
    <w:rsid w:val="004B3AC2"/>
    <w:rsid w:val="004B691A"/>
    <w:rsid w:val="004E6825"/>
    <w:rsid w:val="004F00AE"/>
    <w:rsid w:val="004F7FB2"/>
    <w:rsid w:val="00514B53"/>
    <w:rsid w:val="00517448"/>
    <w:rsid w:val="00517CB1"/>
    <w:rsid w:val="005212E3"/>
    <w:rsid w:val="005221FF"/>
    <w:rsid w:val="005410F6"/>
    <w:rsid w:val="00550100"/>
    <w:rsid w:val="005507DA"/>
    <w:rsid w:val="00552D40"/>
    <w:rsid w:val="005544A4"/>
    <w:rsid w:val="005603E4"/>
    <w:rsid w:val="00562D7D"/>
    <w:rsid w:val="0057680D"/>
    <w:rsid w:val="005A0B6D"/>
    <w:rsid w:val="005A5198"/>
    <w:rsid w:val="005A6F67"/>
    <w:rsid w:val="005B5125"/>
    <w:rsid w:val="005C40BB"/>
    <w:rsid w:val="005E7998"/>
    <w:rsid w:val="006000AF"/>
    <w:rsid w:val="00607C47"/>
    <w:rsid w:val="006356A3"/>
    <w:rsid w:val="00656BBA"/>
    <w:rsid w:val="0067638C"/>
    <w:rsid w:val="006833AD"/>
    <w:rsid w:val="006A0885"/>
    <w:rsid w:val="006A6267"/>
    <w:rsid w:val="006B4EF3"/>
    <w:rsid w:val="006C0413"/>
    <w:rsid w:val="006C4233"/>
    <w:rsid w:val="006E2914"/>
    <w:rsid w:val="007079B8"/>
    <w:rsid w:val="007133EF"/>
    <w:rsid w:val="007138E3"/>
    <w:rsid w:val="00721874"/>
    <w:rsid w:val="00737527"/>
    <w:rsid w:val="00741774"/>
    <w:rsid w:val="007530C1"/>
    <w:rsid w:val="00756F74"/>
    <w:rsid w:val="0076355D"/>
    <w:rsid w:val="00771659"/>
    <w:rsid w:val="007744B5"/>
    <w:rsid w:val="0079741D"/>
    <w:rsid w:val="00797DA0"/>
    <w:rsid w:val="007C3112"/>
    <w:rsid w:val="007C692A"/>
    <w:rsid w:val="00801B13"/>
    <w:rsid w:val="0081140E"/>
    <w:rsid w:val="008136CD"/>
    <w:rsid w:val="008238B2"/>
    <w:rsid w:val="00824C0E"/>
    <w:rsid w:val="0083153A"/>
    <w:rsid w:val="00844E4C"/>
    <w:rsid w:val="008542F2"/>
    <w:rsid w:val="00876BC3"/>
    <w:rsid w:val="00881200"/>
    <w:rsid w:val="00895315"/>
    <w:rsid w:val="00897C99"/>
    <w:rsid w:val="008A103F"/>
    <w:rsid w:val="008B5485"/>
    <w:rsid w:val="008B7CDB"/>
    <w:rsid w:val="008D25B9"/>
    <w:rsid w:val="008D2B50"/>
    <w:rsid w:val="008D7417"/>
    <w:rsid w:val="008F4535"/>
    <w:rsid w:val="008F535A"/>
    <w:rsid w:val="008F6CC7"/>
    <w:rsid w:val="008F7FC8"/>
    <w:rsid w:val="00901F8B"/>
    <w:rsid w:val="00917B2D"/>
    <w:rsid w:val="009422DE"/>
    <w:rsid w:val="00946E8E"/>
    <w:rsid w:val="0094772A"/>
    <w:rsid w:val="0096781D"/>
    <w:rsid w:val="00977ACA"/>
    <w:rsid w:val="009806AB"/>
    <w:rsid w:val="00981795"/>
    <w:rsid w:val="00991DB5"/>
    <w:rsid w:val="009A239F"/>
    <w:rsid w:val="009C40E2"/>
    <w:rsid w:val="009E2313"/>
    <w:rsid w:val="009F513F"/>
    <w:rsid w:val="00A03A61"/>
    <w:rsid w:val="00A053FD"/>
    <w:rsid w:val="00A15CF5"/>
    <w:rsid w:val="00A220A0"/>
    <w:rsid w:val="00A37A46"/>
    <w:rsid w:val="00A44479"/>
    <w:rsid w:val="00A50291"/>
    <w:rsid w:val="00A62EA9"/>
    <w:rsid w:val="00A71149"/>
    <w:rsid w:val="00A80D3B"/>
    <w:rsid w:val="00AA4D49"/>
    <w:rsid w:val="00AA54AB"/>
    <w:rsid w:val="00AB4612"/>
    <w:rsid w:val="00AB7E90"/>
    <w:rsid w:val="00AE14E5"/>
    <w:rsid w:val="00B01318"/>
    <w:rsid w:val="00B068EF"/>
    <w:rsid w:val="00B16FA9"/>
    <w:rsid w:val="00B436B0"/>
    <w:rsid w:val="00B45BEA"/>
    <w:rsid w:val="00B534B5"/>
    <w:rsid w:val="00B577E8"/>
    <w:rsid w:val="00B72FDA"/>
    <w:rsid w:val="00B85264"/>
    <w:rsid w:val="00B90BE1"/>
    <w:rsid w:val="00BA19A7"/>
    <w:rsid w:val="00BA4E93"/>
    <w:rsid w:val="00BA6112"/>
    <w:rsid w:val="00BA7EF7"/>
    <w:rsid w:val="00BB024B"/>
    <w:rsid w:val="00BB5A98"/>
    <w:rsid w:val="00BC490E"/>
    <w:rsid w:val="00BD3DE9"/>
    <w:rsid w:val="00BE2408"/>
    <w:rsid w:val="00BE6B03"/>
    <w:rsid w:val="00BF2F51"/>
    <w:rsid w:val="00C2475C"/>
    <w:rsid w:val="00C24B70"/>
    <w:rsid w:val="00C358AC"/>
    <w:rsid w:val="00C42B03"/>
    <w:rsid w:val="00C448F5"/>
    <w:rsid w:val="00C469C4"/>
    <w:rsid w:val="00C611E4"/>
    <w:rsid w:val="00C75FD5"/>
    <w:rsid w:val="00C83532"/>
    <w:rsid w:val="00C86D3F"/>
    <w:rsid w:val="00C90522"/>
    <w:rsid w:val="00CB1A63"/>
    <w:rsid w:val="00CC42A8"/>
    <w:rsid w:val="00CE0A78"/>
    <w:rsid w:val="00CF2902"/>
    <w:rsid w:val="00D03E9C"/>
    <w:rsid w:val="00D1031A"/>
    <w:rsid w:val="00D16E1F"/>
    <w:rsid w:val="00D26793"/>
    <w:rsid w:val="00D504B3"/>
    <w:rsid w:val="00D50A60"/>
    <w:rsid w:val="00D6141E"/>
    <w:rsid w:val="00D7295E"/>
    <w:rsid w:val="00D804AE"/>
    <w:rsid w:val="00D84DE1"/>
    <w:rsid w:val="00D87BD5"/>
    <w:rsid w:val="00D9090B"/>
    <w:rsid w:val="00DA23BF"/>
    <w:rsid w:val="00DB17F2"/>
    <w:rsid w:val="00DB653C"/>
    <w:rsid w:val="00DC24EB"/>
    <w:rsid w:val="00DD2A2C"/>
    <w:rsid w:val="00DD5DA8"/>
    <w:rsid w:val="00DE0247"/>
    <w:rsid w:val="00DE2E60"/>
    <w:rsid w:val="00DF03BE"/>
    <w:rsid w:val="00DF16CE"/>
    <w:rsid w:val="00E030C7"/>
    <w:rsid w:val="00E04237"/>
    <w:rsid w:val="00E05C9E"/>
    <w:rsid w:val="00E14014"/>
    <w:rsid w:val="00E20707"/>
    <w:rsid w:val="00E35073"/>
    <w:rsid w:val="00E448EA"/>
    <w:rsid w:val="00E57391"/>
    <w:rsid w:val="00E57823"/>
    <w:rsid w:val="00E6097D"/>
    <w:rsid w:val="00E61634"/>
    <w:rsid w:val="00E70E23"/>
    <w:rsid w:val="00E77DA5"/>
    <w:rsid w:val="00EB676C"/>
    <w:rsid w:val="00EC3ECF"/>
    <w:rsid w:val="00ED3817"/>
    <w:rsid w:val="00ED4AD2"/>
    <w:rsid w:val="00ED4E99"/>
    <w:rsid w:val="00EF4BC3"/>
    <w:rsid w:val="00F07EC8"/>
    <w:rsid w:val="00F14AEE"/>
    <w:rsid w:val="00F162AE"/>
    <w:rsid w:val="00F502C1"/>
    <w:rsid w:val="00F53485"/>
    <w:rsid w:val="00F66C2C"/>
    <w:rsid w:val="00F818F0"/>
    <w:rsid w:val="00F83F72"/>
    <w:rsid w:val="00F97B98"/>
    <w:rsid w:val="00FA6D2A"/>
    <w:rsid w:val="00FB1BF2"/>
    <w:rsid w:val="00FB7E30"/>
    <w:rsid w:val="00FC34E2"/>
    <w:rsid w:val="00FD203E"/>
    <w:rsid w:val="00FD2DBB"/>
    <w:rsid w:val="00FE0A17"/>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 w:type="paragraph" w:styleId="NormalnyWeb">
    <w:name w:val="Normal (Web)"/>
    <w:basedOn w:val="Normalny"/>
    <w:qFormat/>
    <w:rsid w:val="00EB676C"/>
    <w:pPr>
      <w:widowControl/>
      <w:suppressAutoHyphens/>
      <w:autoSpaceDE/>
      <w:autoSpaceDN/>
      <w:adjustRightInd/>
      <w:spacing w:after="45" w:line="240" w:lineRule="auto"/>
      <w:ind w:left="0" w:firstLine="0"/>
    </w:pPr>
    <w:rPr>
      <w:lang w:eastAsia="ar-SA"/>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4E50-B512-409F-8CA0-7B6FB639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23</Pages>
  <Words>9903</Words>
  <Characters>59419</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19</cp:revision>
  <cp:lastPrinted>2021-04-12T12:58:00Z</cp:lastPrinted>
  <dcterms:created xsi:type="dcterms:W3CDTF">2021-06-11T05:57:00Z</dcterms:created>
  <dcterms:modified xsi:type="dcterms:W3CDTF">2021-10-14T11:12:00Z</dcterms:modified>
</cp:coreProperties>
</file>